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CB000" w14:textId="77777777" w:rsidR="00AA7032" w:rsidRDefault="00AA7032" w:rsidP="00AA7032">
      <w:pPr>
        <w:autoSpaceDE w:val="0"/>
        <w:autoSpaceDN w:val="0"/>
        <w:adjustRightInd w:val="0"/>
        <w:rPr>
          <w:rFonts w:ascii="Arial" w:hAnsi="Arial" w:cs="Arial"/>
          <w:b/>
          <w:bCs/>
          <w:spacing w:val="20"/>
          <w:sz w:val="22"/>
          <w:szCs w:val="22"/>
        </w:rPr>
      </w:pPr>
    </w:p>
    <w:p w14:paraId="12A62859" w14:textId="77777777" w:rsidR="00AA7032" w:rsidRPr="00A95450" w:rsidRDefault="00AA7032" w:rsidP="00AA7032">
      <w:pPr>
        <w:autoSpaceDE w:val="0"/>
        <w:autoSpaceDN w:val="0"/>
        <w:adjustRightInd w:val="0"/>
        <w:rPr>
          <w:rFonts w:ascii="Arial" w:hAnsi="Arial" w:cs="Arial"/>
          <w:sz w:val="22"/>
          <w:szCs w:val="22"/>
        </w:rPr>
      </w:pPr>
      <w:r w:rsidRPr="00A95450">
        <w:rPr>
          <w:rFonts w:ascii="Arial" w:hAnsi="Arial" w:cs="Arial"/>
          <w:b/>
          <w:bCs/>
          <w:sz w:val="22"/>
          <w:szCs w:val="22"/>
        </w:rPr>
        <w:t xml:space="preserve">To: </w:t>
      </w:r>
      <w:r w:rsidRPr="00A95450">
        <w:rPr>
          <w:rFonts w:ascii="Arial" w:hAnsi="Arial" w:cs="Arial"/>
          <w:b/>
          <w:bCs/>
          <w:sz w:val="22"/>
          <w:szCs w:val="22"/>
        </w:rPr>
        <w:tab/>
      </w:r>
      <w:r w:rsidRPr="00A95450">
        <w:rPr>
          <w:rFonts w:ascii="Arial" w:hAnsi="Arial" w:cs="Arial"/>
          <w:b/>
          <w:bCs/>
          <w:sz w:val="22"/>
          <w:szCs w:val="22"/>
        </w:rPr>
        <w:tab/>
        <w:t xml:space="preserve"> </w:t>
      </w:r>
      <w:r w:rsidRPr="00A95450">
        <w:rPr>
          <w:rFonts w:ascii="Arial" w:hAnsi="Arial" w:cs="Arial"/>
          <w:sz w:val="22"/>
          <w:szCs w:val="22"/>
        </w:rPr>
        <w:t>Mayor and Council</w:t>
      </w:r>
    </w:p>
    <w:p w14:paraId="0B6688D2" w14:textId="77777777" w:rsidR="00AA7032" w:rsidRDefault="00AA7032" w:rsidP="00AA7032">
      <w:pPr>
        <w:autoSpaceDE w:val="0"/>
        <w:autoSpaceDN w:val="0"/>
        <w:adjustRightInd w:val="0"/>
        <w:rPr>
          <w:rFonts w:ascii="Arial" w:hAnsi="Arial" w:cs="Arial"/>
          <w:b/>
          <w:bCs/>
          <w:sz w:val="22"/>
          <w:szCs w:val="22"/>
        </w:rPr>
      </w:pPr>
    </w:p>
    <w:p w14:paraId="57F60A90" w14:textId="5C814AFD" w:rsidR="007017A8" w:rsidRDefault="00AA7032" w:rsidP="00AA7032">
      <w:pPr>
        <w:autoSpaceDE w:val="0"/>
        <w:autoSpaceDN w:val="0"/>
        <w:adjustRightInd w:val="0"/>
        <w:rPr>
          <w:rFonts w:ascii="Arial" w:hAnsi="Arial" w:cs="Arial"/>
          <w:sz w:val="22"/>
          <w:szCs w:val="22"/>
        </w:rPr>
      </w:pPr>
      <w:r w:rsidRPr="00A95450">
        <w:rPr>
          <w:rFonts w:ascii="Arial" w:hAnsi="Arial" w:cs="Arial"/>
          <w:b/>
          <w:bCs/>
          <w:sz w:val="22"/>
          <w:szCs w:val="22"/>
        </w:rPr>
        <w:t xml:space="preserve">From: </w:t>
      </w:r>
      <w:r w:rsidRPr="00A95450">
        <w:rPr>
          <w:rFonts w:ascii="Arial" w:hAnsi="Arial" w:cs="Arial"/>
          <w:b/>
          <w:bCs/>
          <w:sz w:val="22"/>
          <w:szCs w:val="22"/>
        </w:rPr>
        <w:tab/>
      </w:r>
      <w:r w:rsidRPr="00A95450">
        <w:rPr>
          <w:rFonts w:ascii="Arial" w:hAnsi="Arial" w:cs="Arial"/>
          <w:b/>
          <w:bCs/>
          <w:sz w:val="22"/>
          <w:szCs w:val="22"/>
        </w:rPr>
        <w:tab/>
      </w:r>
      <w:r w:rsidRPr="00C03C2F">
        <w:rPr>
          <w:rFonts w:ascii="Arial" w:hAnsi="Arial" w:cs="Arial"/>
          <w:sz w:val="22"/>
          <w:szCs w:val="22"/>
        </w:rPr>
        <w:t xml:space="preserve"> </w:t>
      </w:r>
      <w:r w:rsidR="007017A8">
        <w:rPr>
          <w:rFonts w:ascii="Arial" w:hAnsi="Arial" w:cs="Arial"/>
          <w:sz w:val="22"/>
          <w:szCs w:val="22"/>
        </w:rPr>
        <w:t>Eric Johnson, City Manager</w:t>
      </w:r>
    </w:p>
    <w:p w14:paraId="51597142" w14:textId="77777777" w:rsidR="00D477E4" w:rsidRDefault="00D477E4" w:rsidP="00AA7032">
      <w:pPr>
        <w:autoSpaceDE w:val="0"/>
        <w:autoSpaceDN w:val="0"/>
        <w:adjustRightInd w:val="0"/>
        <w:rPr>
          <w:rFonts w:ascii="Arial" w:hAnsi="Arial" w:cs="Arial"/>
          <w:sz w:val="22"/>
          <w:szCs w:val="22"/>
        </w:rPr>
      </w:pPr>
    </w:p>
    <w:p w14:paraId="0C458185" w14:textId="64A67507" w:rsidR="00D477E4" w:rsidRPr="00A95450" w:rsidRDefault="00D477E4" w:rsidP="00AA7032">
      <w:pPr>
        <w:autoSpaceDE w:val="0"/>
        <w:autoSpaceDN w:val="0"/>
        <w:adjustRightInd w:val="0"/>
        <w:rPr>
          <w:rFonts w:ascii="Arial" w:hAnsi="Arial" w:cs="Arial"/>
          <w:sz w:val="22"/>
          <w:szCs w:val="22"/>
        </w:rPr>
      </w:pPr>
      <w:r w:rsidRPr="00D477E4">
        <w:rPr>
          <w:rFonts w:ascii="Arial" w:hAnsi="Arial" w:cs="Arial"/>
          <w:b/>
          <w:bCs/>
          <w:sz w:val="22"/>
          <w:szCs w:val="22"/>
        </w:rPr>
        <w:t>Date:</w:t>
      </w:r>
      <w:r w:rsidRPr="00D477E4">
        <w:rPr>
          <w:rFonts w:ascii="Arial" w:hAnsi="Arial" w:cs="Arial"/>
          <w:b/>
          <w:bCs/>
          <w:sz w:val="22"/>
          <w:szCs w:val="22"/>
        </w:rPr>
        <w:tab/>
      </w:r>
      <w:r>
        <w:rPr>
          <w:rFonts w:ascii="Arial" w:hAnsi="Arial" w:cs="Arial"/>
          <w:sz w:val="22"/>
          <w:szCs w:val="22"/>
        </w:rPr>
        <w:tab/>
        <w:t xml:space="preserve"> May 31, 2024</w:t>
      </w:r>
    </w:p>
    <w:p w14:paraId="26723886" w14:textId="77777777" w:rsidR="00AA7032" w:rsidRPr="00A95450" w:rsidRDefault="00AA7032" w:rsidP="00AA7032">
      <w:pPr>
        <w:autoSpaceDE w:val="0"/>
        <w:autoSpaceDN w:val="0"/>
        <w:adjustRightInd w:val="0"/>
        <w:rPr>
          <w:rFonts w:ascii="Arial" w:hAnsi="Arial" w:cs="Arial"/>
          <w:b/>
          <w:bCs/>
          <w:sz w:val="22"/>
          <w:szCs w:val="22"/>
        </w:rPr>
      </w:pPr>
    </w:p>
    <w:p w14:paraId="21B98D4A" w14:textId="77777777" w:rsidR="00AA7032" w:rsidRPr="00A95450" w:rsidRDefault="00AA7032" w:rsidP="00AA7032">
      <w:pPr>
        <w:autoSpaceDE w:val="0"/>
        <w:autoSpaceDN w:val="0"/>
        <w:adjustRightInd w:val="0"/>
        <w:rPr>
          <w:rFonts w:ascii="Arial" w:hAnsi="Arial" w:cs="Arial"/>
          <w:b/>
          <w:bCs/>
          <w:sz w:val="22"/>
          <w:szCs w:val="22"/>
        </w:rPr>
      </w:pPr>
    </w:p>
    <w:p w14:paraId="007339AA" w14:textId="77777777" w:rsidR="00C90088" w:rsidRDefault="00D477E4" w:rsidP="00B843DD">
      <w:pPr>
        <w:jc w:val="both"/>
      </w:pPr>
      <w:r>
        <w:t>Mayor and City Councilmembers:</w:t>
      </w:r>
    </w:p>
    <w:p w14:paraId="7779E09F" w14:textId="5F77DF33" w:rsidR="00D477E4" w:rsidRDefault="00D477E4" w:rsidP="00B843DD">
      <w:pPr>
        <w:jc w:val="both"/>
      </w:pPr>
      <w:r>
        <w:br/>
      </w:r>
      <w:r w:rsidR="003A41B7">
        <w:t xml:space="preserve">I’d like to </w:t>
      </w:r>
      <w:r>
        <w:t>provide a few highlights</w:t>
      </w:r>
      <w:r w:rsidR="003A41B7">
        <w:t xml:space="preserve"> on the FY 25 recommended budget</w:t>
      </w:r>
      <w:r>
        <w:t>:</w:t>
      </w:r>
    </w:p>
    <w:p w14:paraId="19AB2BB9" w14:textId="77777777" w:rsidR="00D477E4" w:rsidRDefault="00D477E4" w:rsidP="00B843DD">
      <w:pPr>
        <w:jc w:val="both"/>
      </w:pPr>
    </w:p>
    <w:p w14:paraId="56B92AB4" w14:textId="77777777" w:rsidR="00D477E4" w:rsidRDefault="00D477E4" w:rsidP="00B843DD">
      <w:pPr>
        <w:jc w:val="both"/>
      </w:pPr>
      <w:r>
        <w:t xml:space="preserve">First, no recommended millage change. We have preliminary data from the County regarding tax digest but that will be revised in June as they have knowledge of the extent of appeals. We would then adjust the budget we </w:t>
      </w:r>
      <w:proofErr w:type="gramStart"/>
      <w:r>
        <w:t>provide</w:t>
      </w:r>
      <w:proofErr w:type="gramEnd"/>
      <w:r>
        <w:t xml:space="preserve"> at your June Policy Work Session to maintain the existing millage. </w:t>
      </w:r>
    </w:p>
    <w:p w14:paraId="18A814B5" w14:textId="77777777" w:rsidR="00D477E4" w:rsidRDefault="00D477E4" w:rsidP="00B843DD">
      <w:pPr>
        <w:jc w:val="both"/>
      </w:pPr>
    </w:p>
    <w:p w14:paraId="032F2B04" w14:textId="77777777" w:rsidR="00D477E4" w:rsidRDefault="00D477E4" w:rsidP="00B843DD">
      <w:pPr>
        <w:jc w:val="both"/>
      </w:pPr>
      <w:r>
        <w:t xml:space="preserve">New positions are minimized, focusing on the three new police officers you recently approved, a communications officer, and recognize the eventual impact of added traffic officers on the need for another court clerk. There were new position requests that I am not recommending at this time: Clerk, HR, Cultural Arts, and IT. In each case, I want to ensure we are maximizing the use of existing resources before requesting additional ones. </w:t>
      </w:r>
    </w:p>
    <w:p w14:paraId="4391E1F7" w14:textId="77777777" w:rsidR="00D477E4" w:rsidRDefault="00D477E4" w:rsidP="00B843DD">
      <w:pPr>
        <w:jc w:val="both"/>
      </w:pPr>
    </w:p>
    <w:p w14:paraId="4E968C56" w14:textId="77777777" w:rsidR="00D477E4" w:rsidRDefault="00D477E4" w:rsidP="00B843DD">
      <w:pPr>
        <w:jc w:val="both"/>
      </w:pPr>
      <w:r>
        <w:t>At this point, while we wait on implementation options for the salary study, we have covered existing salary costs and set aside about $1 million for merit increases and the salary study. Three years ago, the salary study implementation cost about $850,000 on an annualized basis and we implemented it part-way into the fiscal year to spread some of that annualized cost over two fiscal years. As we see the options for implementing this new study, we will manage the available funds. Keep in mind that we have already absorbed the cost of police salary increases earlier this year as well as the merit increases for other employees that were given in February, as well as the cost of some recent higher-cost hires.</w:t>
      </w:r>
    </w:p>
    <w:p w14:paraId="0092944A" w14:textId="77777777" w:rsidR="00D477E4" w:rsidRDefault="00D477E4" w:rsidP="00B843DD">
      <w:pPr>
        <w:jc w:val="both"/>
      </w:pPr>
    </w:p>
    <w:p w14:paraId="124F9495" w14:textId="77777777" w:rsidR="00D477E4" w:rsidRDefault="00D477E4" w:rsidP="00B843DD">
      <w:pPr>
        <w:jc w:val="both"/>
      </w:pPr>
      <w:r>
        <w:t>Electric rates will not change other than the shift to higher base rates offset by lower charges per kilowatt hour that will take effect in November.</w:t>
      </w:r>
    </w:p>
    <w:p w14:paraId="1203C65D" w14:textId="77777777" w:rsidR="00D477E4" w:rsidRDefault="00D477E4" w:rsidP="00B843DD">
      <w:pPr>
        <w:jc w:val="both"/>
      </w:pPr>
    </w:p>
    <w:p w14:paraId="35DD9F89" w14:textId="25605E8B" w:rsidR="00D477E4" w:rsidRDefault="00D477E4" w:rsidP="00B843DD">
      <w:pPr>
        <w:jc w:val="both"/>
      </w:pPr>
      <w:r>
        <w:t>Solid Waste charges will increase by the CPI measure built into the W</w:t>
      </w:r>
      <w:r w:rsidR="00D4334E">
        <w:t>aste Management</w:t>
      </w:r>
      <w:r>
        <w:t xml:space="preserve"> contract. The exact impact will be determined later this Summer as the annual CPI change is calculated and that will be built in before we finalize the budget.</w:t>
      </w:r>
    </w:p>
    <w:p w14:paraId="123E2061" w14:textId="77777777" w:rsidR="00D477E4" w:rsidRDefault="00D477E4" w:rsidP="00B843DD">
      <w:pPr>
        <w:jc w:val="both"/>
      </w:pPr>
    </w:p>
    <w:p w14:paraId="746CDDAF" w14:textId="3023E83F" w:rsidR="00D477E4" w:rsidRDefault="00D477E4" w:rsidP="00B843DD">
      <w:pPr>
        <w:jc w:val="both"/>
      </w:pPr>
      <w:r>
        <w:t>We are reflecting the payments due from the D</w:t>
      </w:r>
      <w:r w:rsidR="005159BD">
        <w:t>owntown Development Authority (“DDA”)</w:t>
      </w:r>
      <w:r>
        <w:t xml:space="preserve"> for the purchase of 29 Jones Street.</w:t>
      </w:r>
      <w:r w:rsidR="005159BD">
        <w:t xml:space="preserve"> The City financed the DDA purchase over </w:t>
      </w:r>
      <w:r w:rsidR="0043160E">
        <w:t xml:space="preserve">fifteen </w:t>
      </w:r>
      <w:proofErr w:type="gramStart"/>
      <w:r w:rsidR="0043160E">
        <w:t>year</w:t>
      </w:r>
      <w:proofErr w:type="gramEnd"/>
      <w:r w:rsidR="0043160E">
        <w:t xml:space="preserve"> – investing City funds to earn a rate of return of 5.5 percent.</w:t>
      </w:r>
    </w:p>
    <w:p w14:paraId="0F818879" w14:textId="77777777" w:rsidR="00D477E4" w:rsidRDefault="00D477E4" w:rsidP="00B843DD">
      <w:pPr>
        <w:jc w:val="both"/>
      </w:pPr>
    </w:p>
    <w:p w14:paraId="775D5435" w14:textId="77777777" w:rsidR="00D477E4" w:rsidRDefault="00D477E4" w:rsidP="00B843DD">
      <w:pPr>
        <w:jc w:val="both"/>
      </w:pPr>
      <w:r>
        <w:t xml:space="preserve">We are assuming a 20% increase in business license revenue through a combination of increased compliance, and collection of charges for late payment. I know there is interest in changing to a different basis using taxable income rather than simply number of employees. We will have the opportunity to discuss that before the next round of license renewals. </w:t>
      </w:r>
    </w:p>
    <w:p w14:paraId="527475AE" w14:textId="77777777" w:rsidR="00D477E4" w:rsidRDefault="00D477E4" w:rsidP="00B843DD">
      <w:pPr>
        <w:jc w:val="both"/>
      </w:pPr>
    </w:p>
    <w:p w14:paraId="58D37AF0" w14:textId="77777777" w:rsidR="00D477E4" w:rsidRDefault="00D477E4" w:rsidP="00B843DD">
      <w:pPr>
        <w:jc w:val="both"/>
      </w:pPr>
      <w:r>
        <w:t xml:space="preserve">I also assume we will revisit homestead exemptions and the possibility of a new homebuyer incentive later this year that will not affect FY 25 revenues. </w:t>
      </w:r>
    </w:p>
    <w:p w14:paraId="44202427" w14:textId="77777777" w:rsidR="00D477E4" w:rsidRDefault="00D477E4" w:rsidP="00B843DD">
      <w:pPr>
        <w:jc w:val="both"/>
      </w:pPr>
    </w:p>
    <w:p w14:paraId="2017B347" w14:textId="6237F255" w:rsidR="00D477E4" w:rsidRDefault="00D477E4" w:rsidP="00B843DD">
      <w:pPr>
        <w:jc w:val="both"/>
      </w:pPr>
      <w:r>
        <w:t xml:space="preserve">New capital projects will focus on vehicle replacements, and vehicles for new police positions. For two detective vehicle replacements, we plan to move to Toyota Camry hybrids – with 52 mpg. As we replace an aging full-size pickup, Code Enforcement will add another Ford Maverick hybrid. These replacements reflect an ongoing commitment to sustainability. With high cost increases by Ford for Explorers, we will shift to more cost-effective Dodge </w:t>
      </w:r>
      <w:proofErr w:type="spellStart"/>
      <w:r>
        <w:t>Durangos</w:t>
      </w:r>
      <w:proofErr w:type="spellEnd"/>
      <w:r>
        <w:t xml:space="preserve"> for replacement patrol vehicles. We have downsized a truck in Public Works but have a necessary replacement. We also anticipate a</w:t>
      </w:r>
      <w:r w:rsidR="00C03413">
        <w:t xml:space="preserve"> vehicle</w:t>
      </w:r>
      <w:r>
        <w:t xml:space="preserve"> replacement </w:t>
      </w:r>
      <w:proofErr w:type="gramStart"/>
      <w:r>
        <w:t>in</w:t>
      </w:r>
      <w:proofErr w:type="gramEnd"/>
      <w:r>
        <w:t xml:space="preserve"> Norcross Power. </w:t>
      </w:r>
    </w:p>
    <w:p w14:paraId="48456CBB" w14:textId="77777777" w:rsidR="00D477E4" w:rsidRDefault="00D477E4" w:rsidP="00B843DD">
      <w:pPr>
        <w:jc w:val="both"/>
      </w:pPr>
    </w:p>
    <w:p w14:paraId="2A6915C8" w14:textId="17588777" w:rsidR="00D477E4" w:rsidRDefault="00D477E4" w:rsidP="00B843DD">
      <w:pPr>
        <w:jc w:val="both"/>
      </w:pPr>
      <w:r>
        <w:t>As we progress th</w:t>
      </w:r>
      <w:r w:rsidR="00C03413">
        <w:t>r</w:t>
      </w:r>
      <w:r>
        <w:t>ough the Summer, I want to revisit previously approved projects to identify any funds remaining from completed projects that can be reinvested into new projects. There are a few potential projects including added improvements at the Community Center, and whether to expand our livestreaming capabilities, to consider before we put the budget to bed in August.</w:t>
      </w:r>
    </w:p>
    <w:p w14:paraId="1C7556F3" w14:textId="77777777" w:rsidR="00D477E4" w:rsidRDefault="00D477E4" w:rsidP="00B843DD">
      <w:pPr>
        <w:jc w:val="both"/>
      </w:pPr>
    </w:p>
    <w:p w14:paraId="5C957215" w14:textId="08C0F327" w:rsidR="00D477E4" w:rsidRDefault="00D477E4" w:rsidP="00B843DD">
      <w:pPr>
        <w:jc w:val="both"/>
      </w:pPr>
      <w:r>
        <w:t>Once we have recommendations from the P</w:t>
      </w:r>
      <w:r w:rsidR="00C03413">
        <w:t xml:space="preserve">arks Greenspace and Trails Master </w:t>
      </w:r>
      <w:proofErr w:type="gramStart"/>
      <w:r w:rsidR="00C03413">
        <w:t xml:space="preserve">Plan, </w:t>
      </w:r>
      <w:r>
        <w:t xml:space="preserve"> specific</w:t>
      </w:r>
      <w:proofErr w:type="gramEnd"/>
      <w:r>
        <w:t xml:space="preserve"> projects can be identified from SPLOST funds</w:t>
      </w:r>
      <w:r w:rsidR="008D3B22">
        <w:t xml:space="preserve"> dedicated to recreation</w:t>
      </w:r>
      <w:r>
        <w:t xml:space="preserve">. </w:t>
      </w:r>
    </w:p>
    <w:p w14:paraId="6C46663E" w14:textId="77777777" w:rsidR="00D477E4" w:rsidRDefault="00D477E4" w:rsidP="00B843DD">
      <w:pPr>
        <w:jc w:val="both"/>
      </w:pPr>
    </w:p>
    <w:p w14:paraId="63CD57D3" w14:textId="672B3E49" w:rsidR="00D477E4" w:rsidRDefault="00D477E4" w:rsidP="00B843DD">
      <w:pPr>
        <w:jc w:val="both"/>
      </w:pPr>
      <w:r>
        <w:t>We will be capturing every opportunity to invest cash into the Public Safety Building to reduce the need for long-term debt</w:t>
      </w:r>
      <w:r w:rsidR="008D3B22">
        <w:t xml:space="preserve"> --</w:t>
      </w:r>
      <w:r>
        <w:t xml:space="preserve"> and that will continue until we have no option but to use the Urban Redevelopment Authority to access future SPLOST funding and then finance the balance of the project using long-term debt that relies on school zone and other revenues. </w:t>
      </w:r>
      <w:r w:rsidR="00B720B6">
        <w:t xml:space="preserve">Applying cash to the cost of construction reduces the future annual debt payments much as a larger down payment on a mortgage reduces future mortgage payments. The building will generate future maintenance costs so the strategy to reduce debt payments is important to balancing future budgets. </w:t>
      </w:r>
    </w:p>
    <w:p w14:paraId="57AF2ADE" w14:textId="77777777" w:rsidR="00D477E4" w:rsidRDefault="00D477E4" w:rsidP="00B843DD">
      <w:pPr>
        <w:jc w:val="both"/>
      </w:pPr>
    </w:p>
    <w:p w14:paraId="760C7218" w14:textId="77777777" w:rsidR="00D477E4" w:rsidRDefault="00D477E4" w:rsidP="00B843DD">
      <w:pPr>
        <w:jc w:val="both"/>
      </w:pPr>
      <w:r>
        <w:t xml:space="preserve">I previously advised that Court fines would increase on July 1, based on action by the Judge. </w:t>
      </w:r>
    </w:p>
    <w:p w14:paraId="5681EEB0" w14:textId="77777777" w:rsidR="00D477E4" w:rsidRDefault="00D477E4" w:rsidP="00B843DD">
      <w:pPr>
        <w:jc w:val="both"/>
      </w:pPr>
    </w:p>
    <w:p w14:paraId="51AECC66" w14:textId="678B5EF1" w:rsidR="00D477E4" w:rsidRDefault="00D477E4" w:rsidP="00B843DD">
      <w:pPr>
        <w:jc w:val="both"/>
      </w:pPr>
      <w:r>
        <w:t>I believe we are building a strong management team and will achieve a much more proactive approach to issues related to financ</w:t>
      </w:r>
      <w:r w:rsidR="006360D4">
        <w:t>e,</w:t>
      </w:r>
      <w:r>
        <w:t xml:space="preserve"> facilities and other infrastructure, planning, and Norcross Power to match the professionalism we’ve had in our public safety functions</w:t>
      </w:r>
      <w:r w:rsidR="006360D4">
        <w:t xml:space="preserve"> and other areas.</w:t>
      </w:r>
    </w:p>
    <w:p w14:paraId="39E44590" w14:textId="77777777" w:rsidR="00D477E4" w:rsidRDefault="00D477E4" w:rsidP="00B843DD">
      <w:pPr>
        <w:jc w:val="both"/>
      </w:pPr>
    </w:p>
    <w:p w14:paraId="054D7D5B" w14:textId="18AD578B" w:rsidR="00D477E4" w:rsidRDefault="00D477E4" w:rsidP="00B843DD">
      <w:pPr>
        <w:jc w:val="both"/>
      </w:pPr>
      <w:r>
        <w:t xml:space="preserve">We shifted to a plan year for healthcare </w:t>
      </w:r>
      <w:r w:rsidR="006360D4">
        <w:t>that runs from</w:t>
      </w:r>
      <w:r>
        <w:t xml:space="preserve"> January through December. We have assumed a 5% increase in the City’s </w:t>
      </w:r>
      <w:proofErr w:type="gramStart"/>
      <w:r>
        <w:t>cost</w:t>
      </w:r>
      <w:proofErr w:type="gramEnd"/>
      <w:r>
        <w:t xml:space="preserve"> in FY 25, which would cover an increase in January of 7.5%</w:t>
      </w:r>
      <w:r w:rsidR="006360D4">
        <w:t xml:space="preserve"> for the remaining eight months of the FY 25 fiscal year.</w:t>
      </w:r>
      <w:r>
        <w:t xml:space="preserve"> It is far too early to know if we can hold premium increases to that level</w:t>
      </w:r>
      <w:r w:rsidR="006360D4">
        <w:t>,</w:t>
      </w:r>
      <w:r>
        <w:t xml:space="preserve"> but we have done a good job in recent years of holding down costs for the City and our employees. </w:t>
      </w:r>
    </w:p>
    <w:p w14:paraId="08CECFF3" w14:textId="77777777" w:rsidR="00D477E4" w:rsidRDefault="00D477E4" w:rsidP="00B843DD">
      <w:pPr>
        <w:jc w:val="both"/>
      </w:pPr>
    </w:p>
    <w:p w14:paraId="010C4020" w14:textId="68BEDC4C" w:rsidR="00D477E4" w:rsidRDefault="00D477E4" w:rsidP="00B843DD">
      <w:pPr>
        <w:jc w:val="both"/>
      </w:pPr>
      <w:r>
        <w:t xml:space="preserve">There is no OPEB contribution </w:t>
      </w:r>
      <w:r w:rsidR="006360D4">
        <w:t xml:space="preserve">(“Other Post Retirement Benefits” </w:t>
      </w:r>
      <w:r w:rsidR="007E7F34">
        <w:t xml:space="preserve">excluding </w:t>
      </w:r>
      <w:proofErr w:type="gramStart"/>
      <w:r w:rsidR="007E7F34">
        <w:t>retirement )</w:t>
      </w:r>
      <w:proofErr w:type="gramEnd"/>
      <w:r w:rsidR="007E7F34">
        <w:t xml:space="preserve"> </w:t>
      </w:r>
      <w:r>
        <w:t xml:space="preserve">budgeted in FY 25. I’d suggest we revisit that when the books close for FY 24 and consider using part of any surplus to </w:t>
      </w:r>
      <w:proofErr w:type="gramStart"/>
      <w:r>
        <w:t>make a contribution</w:t>
      </w:r>
      <w:proofErr w:type="gramEnd"/>
      <w:r>
        <w:t xml:space="preserve">. We also have the potential to make a future contribution from the Electric Fund since part of our liability is based on employees in that Fund. By capping enrollment, having retires contribute a growing share of their cost of </w:t>
      </w:r>
      <w:proofErr w:type="gramStart"/>
      <w:r>
        <w:t>coverage,  and</w:t>
      </w:r>
      <w:proofErr w:type="gramEnd"/>
      <w:r>
        <w:t xml:space="preserve"> making a significant deposit into our trust fund ($2.5 million committed to date), I expect our liability to shrink as subsequent annual actuarial reports are provided – unless healthcare costs shoot up.</w:t>
      </w:r>
    </w:p>
    <w:p w14:paraId="4E04AA7F" w14:textId="77777777" w:rsidR="00D477E4" w:rsidRDefault="00D477E4" w:rsidP="00B843DD">
      <w:pPr>
        <w:jc w:val="both"/>
      </w:pPr>
    </w:p>
    <w:p w14:paraId="240D9DAF" w14:textId="5DECB355" w:rsidR="00D477E4" w:rsidRDefault="00D477E4" w:rsidP="00B843DD">
      <w:pPr>
        <w:jc w:val="both"/>
      </w:pPr>
      <w:r>
        <w:t>No new events are funded but we are prepared to discuss where there are low-turnout events that might be converted to virtual events with pre-recorded content to free up capacity for another event. With Red, White and Boom’s timing next year, we expect to have 7 Summer Concerts. That allows a little more to spent on those concerts. We have been looking into an International Night Market that would address cited interest in an international event as well as interest we have heard in a Christmas Night Market.</w:t>
      </w:r>
      <w:r w:rsidR="00B96A42">
        <w:t xml:space="preserve"> Doing so relies on </w:t>
      </w:r>
      <w:r w:rsidR="00B843DD">
        <w:t xml:space="preserve">it working for the group that organizes those types of events. </w:t>
      </w:r>
      <w:r>
        <w:t xml:space="preserve"> We do plan to increase the price of attending our Father-Daughter dance given the high cost per participant -- $37 </w:t>
      </w:r>
      <w:r w:rsidR="00B843DD">
        <w:t xml:space="preserve">per attendee </w:t>
      </w:r>
      <w:r>
        <w:t xml:space="preserve">this year for each of 83 attendees. The proposal is to increase </w:t>
      </w:r>
      <w:r w:rsidR="00B843DD">
        <w:t xml:space="preserve">our fee </w:t>
      </w:r>
      <w:r>
        <w:t xml:space="preserve">from $6 per couple to $35. That would still have the City subsidizing 55% of the projected cost as we increase available attendance to </w:t>
      </w:r>
      <w:r w:rsidR="00B843DD">
        <w:t xml:space="preserve">allow </w:t>
      </w:r>
      <w:r>
        <w:t xml:space="preserve">120 </w:t>
      </w:r>
      <w:r w:rsidR="00B843DD">
        <w:t>attendees</w:t>
      </w:r>
      <w:r>
        <w:t xml:space="preserve">. </w:t>
      </w:r>
    </w:p>
    <w:p w14:paraId="396715D2" w14:textId="77777777" w:rsidR="00D477E4" w:rsidRDefault="00D477E4" w:rsidP="00B843DD">
      <w:pPr>
        <w:jc w:val="both"/>
      </w:pPr>
    </w:p>
    <w:p w14:paraId="42BCEB8F" w14:textId="5C690EC3" w:rsidR="00D477E4" w:rsidRDefault="00D477E4" w:rsidP="00B843DD">
      <w:pPr>
        <w:jc w:val="both"/>
      </w:pPr>
      <w:r>
        <w:t xml:space="preserve">I appreciate the efforts by </w:t>
      </w:r>
      <w:r w:rsidR="00B843DD">
        <w:t xml:space="preserve">our Finance Director, </w:t>
      </w:r>
      <w:r>
        <w:t>Toni Jo</w:t>
      </w:r>
      <w:r w:rsidR="00B843DD">
        <w:t xml:space="preserve"> Howard</w:t>
      </w:r>
      <w:r>
        <w:t xml:space="preserve">, and assistance from </w:t>
      </w:r>
      <w:r w:rsidR="00B843DD">
        <w:t xml:space="preserve">our Assistant to the City Manager, </w:t>
      </w:r>
      <w:r>
        <w:t>Charlene</w:t>
      </w:r>
      <w:r w:rsidR="00B843DD">
        <w:t xml:space="preserve"> Marsh</w:t>
      </w:r>
      <w:r>
        <w:t xml:space="preserve">, as they wrap up the materials for your discussion. </w:t>
      </w:r>
    </w:p>
    <w:p w14:paraId="0284C864" w14:textId="77777777" w:rsidR="00D477E4" w:rsidRPr="00A95450" w:rsidRDefault="00D477E4" w:rsidP="00AA7032">
      <w:pPr>
        <w:autoSpaceDE w:val="0"/>
        <w:autoSpaceDN w:val="0"/>
        <w:adjustRightInd w:val="0"/>
        <w:rPr>
          <w:rFonts w:ascii="Arial" w:hAnsi="Arial" w:cs="Arial"/>
          <w:b/>
          <w:bCs/>
          <w:sz w:val="22"/>
          <w:szCs w:val="22"/>
        </w:rPr>
      </w:pPr>
    </w:p>
    <w:sectPr w:rsidR="00D477E4" w:rsidRPr="00A95450" w:rsidSect="00011C35">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2F44E" w14:textId="77777777" w:rsidR="00594094" w:rsidRDefault="00594094" w:rsidP="001800A7">
      <w:r>
        <w:separator/>
      </w:r>
    </w:p>
  </w:endnote>
  <w:endnote w:type="continuationSeparator" w:id="0">
    <w:p w14:paraId="3EA0853E" w14:textId="77777777" w:rsidR="00594094" w:rsidRDefault="00594094" w:rsidP="0018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E5B94" w14:textId="2D8C5851" w:rsidR="00601824" w:rsidRDefault="00601824">
    <w:pPr>
      <w:pStyle w:val="Footer"/>
    </w:pPr>
    <w:r>
      <w:rPr>
        <w:noProof/>
      </w:rPr>
      <w:drawing>
        <wp:anchor distT="0" distB="0" distL="114300" distR="114300" simplePos="0" relativeHeight="251658240" behindDoc="1" locked="0" layoutInCell="1" allowOverlap="1" wp14:anchorId="7C24F7CF" wp14:editId="5A151875">
          <wp:simplePos x="0" y="0"/>
          <wp:positionH relativeFrom="margin">
            <wp:align>right</wp:align>
          </wp:positionH>
          <wp:positionV relativeFrom="page">
            <wp:posOffset>9288780</wp:posOffset>
          </wp:positionV>
          <wp:extent cx="5943600" cy="427990"/>
          <wp:effectExtent l="0" t="0" r="0" b="0"/>
          <wp:wrapTight wrapText="bothSides">
            <wp:wrapPolygon edited="0">
              <wp:start x="0" y="0"/>
              <wp:lineTo x="0" y="14421"/>
              <wp:lineTo x="2700" y="15383"/>
              <wp:lineTo x="2769" y="20190"/>
              <wp:lineTo x="18831" y="20190"/>
              <wp:lineTo x="18969" y="16344"/>
              <wp:lineTo x="21531" y="12499"/>
              <wp:lineTo x="21531" y="0"/>
              <wp:lineTo x="0" y="0"/>
            </wp:wrapPolygon>
          </wp:wrapTight>
          <wp:docPr id="2096288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2799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57A75" w14:textId="77777777" w:rsidR="00594094" w:rsidRDefault="00594094" w:rsidP="001800A7">
      <w:r>
        <w:separator/>
      </w:r>
    </w:p>
  </w:footnote>
  <w:footnote w:type="continuationSeparator" w:id="0">
    <w:p w14:paraId="19B0425B" w14:textId="77777777" w:rsidR="00594094" w:rsidRDefault="00594094" w:rsidP="0018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A2E87" w14:textId="2B5848E5" w:rsidR="004B7C09" w:rsidRDefault="0065043B">
    <w:pPr>
      <w:pStyle w:val="Header"/>
    </w:pPr>
    <w:r w:rsidRPr="0065043B">
      <w:rPr>
        <w:rFonts w:ascii="Arial" w:eastAsia="Arial" w:hAnsi="Arial" w:cs="Arial"/>
        <w:noProof/>
        <w:kern w:val="0"/>
        <w:sz w:val="22"/>
        <w:szCs w:val="22"/>
        <w14:ligatures w14:val="none"/>
      </w:rPr>
      <w:drawing>
        <wp:inline distT="0" distB="0" distL="0" distR="0" wp14:anchorId="74F13941" wp14:editId="744EEBA6">
          <wp:extent cx="5943600" cy="1430803"/>
          <wp:effectExtent l="0" t="0" r="0" b="0"/>
          <wp:docPr id="1290158825"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58825" name="Picture 3"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308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31BD1"/>
    <w:multiLevelType w:val="hybridMultilevel"/>
    <w:tmpl w:val="0F2211D6"/>
    <w:lvl w:ilvl="0" w:tplc="19CABBE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625A1"/>
    <w:multiLevelType w:val="hybridMultilevel"/>
    <w:tmpl w:val="8FAE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456F6B"/>
    <w:multiLevelType w:val="hybridMultilevel"/>
    <w:tmpl w:val="992CCF06"/>
    <w:lvl w:ilvl="0" w:tplc="2AFC805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45785">
    <w:abstractNumId w:val="1"/>
  </w:num>
  <w:num w:numId="2" w16cid:durableId="249966508">
    <w:abstractNumId w:val="0"/>
  </w:num>
  <w:num w:numId="3" w16cid:durableId="112002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16"/>
    <w:rsid w:val="000019DB"/>
    <w:rsid w:val="00011C35"/>
    <w:rsid w:val="00016DE9"/>
    <w:rsid w:val="00022D79"/>
    <w:rsid w:val="0003763B"/>
    <w:rsid w:val="00037F85"/>
    <w:rsid w:val="00055C2D"/>
    <w:rsid w:val="00074FF7"/>
    <w:rsid w:val="00091983"/>
    <w:rsid w:val="000957AB"/>
    <w:rsid w:val="000A2EC7"/>
    <w:rsid w:val="000A7084"/>
    <w:rsid w:val="000C2C8F"/>
    <w:rsid w:val="000E62ED"/>
    <w:rsid w:val="000F0E50"/>
    <w:rsid w:val="000F29D6"/>
    <w:rsid w:val="001247BF"/>
    <w:rsid w:val="00143845"/>
    <w:rsid w:val="00174D16"/>
    <w:rsid w:val="00175A36"/>
    <w:rsid w:val="001800A7"/>
    <w:rsid w:val="00180849"/>
    <w:rsid w:val="001821AD"/>
    <w:rsid w:val="00182C4B"/>
    <w:rsid w:val="00186789"/>
    <w:rsid w:val="001C0D29"/>
    <w:rsid w:val="00211311"/>
    <w:rsid w:val="00211B82"/>
    <w:rsid w:val="00235898"/>
    <w:rsid w:val="00235E6E"/>
    <w:rsid w:val="002431B6"/>
    <w:rsid w:val="0024497A"/>
    <w:rsid w:val="002510DA"/>
    <w:rsid w:val="00264B52"/>
    <w:rsid w:val="00280AD6"/>
    <w:rsid w:val="00297B1D"/>
    <w:rsid w:val="002A2C3B"/>
    <w:rsid w:val="002B63DB"/>
    <w:rsid w:val="002C1992"/>
    <w:rsid w:val="002E555F"/>
    <w:rsid w:val="002E7191"/>
    <w:rsid w:val="0032442D"/>
    <w:rsid w:val="003321E6"/>
    <w:rsid w:val="003464E3"/>
    <w:rsid w:val="0036394E"/>
    <w:rsid w:val="0036466E"/>
    <w:rsid w:val="00374A5F"/>
    <w:rsid w:val="00383307"/>
    <w:rsid w:val="00386563"/>
    <w:rsid w:val="003958F5"/>
    <w:rsid w:val="003A2511"/>
    <w:rsid w:val="003A31C9"/>
    <w:rsid w:val="003A41B7"/>
    <w:rsid w:val="003B1902"/>
    <w:rsid w:val="003F34CC"/>
    <w:rsid w:val="00400EA8"/>
    <w:rsid w:val="00410543"/>
    <w:rsid w:val="00410968"/>
    <w:rsid w:val="00411B69"/>
    <w:rsid w:val="00421486"/>
    <w:rsid w:val="0043160E"/>
    <w:rsid w:val="00436C48"/>
    <w:rsid w:val="00444DE1"/>
    <w:rsid w:val="004467A1"/>
    <w:rsid w:val="00462C05"/>
    <w:rsid w:val="0047798B"/>
    <w:rsid w:val="00491845"/>
    <w:rsid w:val="004B26B1"/>
    <w:rsid w:val="004B7C09"/>
    <w:rsid w:val="005159BD"/>
    <w:rsid w:val="005344D1"/>
    <w:rsid w:val="00552172"/>
    <w:rsid w:val="005702F6"/>
    <w:rsid w:val="00592A07"/>
    <w:rsid w:val="00594094"/>
    <w:rsid w:val="005958AB"/>
    <w:rsid w:val="005A4C9C"/>
    <w:rsid w:val="005B7920"/>
    <w:rsid w:val="005C689A"/>
    <w:rsid w:val="005D4BB2"/>
    <w:rsid w:val="00601824"/>
    <w:rsid w:val="006025F3"/>
    <w:rsid w:val="00611B93"/>
    <w:rsid w:val="00620880"/>
    <w:rsid w:val="006351FF"/>
    <w:rsid w:val="006360D4"/>
    <w:rsid w:val="0065043B"/>
    <w:rsid w:val="00662036"/>
    <w:rsid w:val="00681078"/>
    <w:rsid w:val="007017A8"/>
    <w:rsid w:val="0070412D"/>
    <w:rsid w:val="007078FF"/>
    <w:rsid w:val="00713563"/>
    <w:rsid w:val="00724B71"/>
    <w:rsid w:val="00730C3E"/>
    <w:rsid w:val="0074729D"/>
    <w:rsid w:val="007544A4"/>
    <w:rsid w:val="0077116D"/>
    <w:rsid w:val="00785207"/>
    <w:rsid w:val="007E6C2F"/>
    <w:rsid w:val="007E7D73"/>
    <w:rsid w:val="007E7F34"/>
    <w:rsid w:val="008333D7"/>
    <w:rsid w:val="008347C6"/>
    <w:rsid w:val="00836121"/>
    <w:rsid w:val="008503B6"/>
    <w:rsid w:val="00850EE9"/>
    <w:rsid w:val="00864847"/>
    <w:rsid w:val="00871186"/>
    <w:rsid w:val="008815A2"/>
    <w:rsid w:val="008852FF"/>
    <w:rsid w:val="00891E45"/>
    <w:rsid w:val="008A64DC"/>
    <w:rsid w:val="008C1BF4"/>
    <w:rsid w:val="008D3B22"/>
    <w:rsid w:val="008E1BBB"/>
    <w:rsid w:val="008E50AD"/>
    <w:rsid w:val="009073EB"/>
    <w:rsid w:val="0092744B"/>
    <w:rsid w:val="00927972"/>
    <w:rsid w:val="00937972"/>
    <w:rsid w:val="0096607B"/>
    <w:rsid w:val="00984AB5"/>
    <w:rsid w:val="009A07D1"/>
    <w:rsid w:val="009A1DDB"/>
    <w:rsid w:val="009A3370"/>
    <w:rsid w:val="009A5236"/>
    <w:rsid w:val="009C387B"/>
    <w:rsid w:val="009E2274"/>
    <w:rsid w:val="00A0141B"/>
    <w:rsid w:val="00A135E9"/>
    <w:rsid w:val="00A148F8"/>
    <w:rsid w:val="00A31AEB"/>
    <w:rsid w:val="00A329DA"/>
    <w:rsid w:val="00A37AE7"/>
    <w:rsid w:val="00A52F7B"/>
    <w:rsid w:val="00A92CD8"/>
    <w:rsid w:val="00AA7032"/>
    <w:rsid w:val="00AB0D64"/>
    <w:rsid w:val="00AE4A34"/>
    <w:rsid w:val="00AF0BFD"/>
    <w:rsid w:val="00B00532"/>
    <w:rsid w:val="00B03435"/>
    <w:rsid w:val="00B12025"/>
    <w:rsid w:val="00B633FE"/>
    <w:rsid w:val="00B720B6"/>
    <w:rsid w:val="00B74D15"/>
    <w:rsid w:val="00B843DD"/>
    <w:rsid w:val="00B96A42"/>
    <w:rsid w:val="00BA7B52"/>
    <w:rsid w:val="00BB734C"/>
    <w:rsid w:val="00BC5330"/>
    <w:rsid w:val="00BE7F8C"/>
    <w:rsid w:val="00BF1599"/>
    <w:rsid w:val="00BF3706"/>
    <w:rsid w:val="00C03413"/>
    <w:rsid w:val="00C03C2F"/>
    <w:rsid w:val="00C12ED1"/>
    <w:rsid w:val="00C32B30"/>
    <w:rsid w:val="00C43F49"/>
    <w:rsid w:val="00C80174"/>
    <w:rsid w:val="00C826ED"/>
    <w:rsid w:val="00C90088"/>
    <w:rsid w:val="00CA1330"/>
    <w:rsid w:val="00CD0F53"/>
    <w:rsid w:val="00D1012D"/>
    <w:rsid w:val="00D1498C"/>
    <w:rsid w:val="00D4334E"/>
    <w:rsid w:val="00D4390C"/>
    <w:rsid w:val="00D45713"/>
    <w:rsid w:val="00D46081"/>
    <w:rsid w:val="00D477E4"/>
    <w:rsid w:val="00D8460B"/>
    <w:rsid w:val="00D90DB2"/>
    <w:rsid w:val="00DB74A3"/>
    <w:rsid w:val="00DC6341"/>
    <w:rsid w:val="00DC6CEF"/>
    <w:rsid w:val="00DD331E"/>
    <w:rsid w:val="00DE459F"/>
    <w:rsid w:val="00E20FBC"/>
    <w:rsid w:val="00E2125C"/>
    <w:rsid w:val="00E34942"/>
    <w:rsid w:val="00E422B7"/>
    <w:rsid w:val="00E43027"/>
    <w:rsid w:val="00E45930"/>
    <w:rsid w:val="00E46D4F"/>
    <w:rsid w:val="00E57965"/>
    <w:rsid w:val="00E912E3"/>
    <w:rsid w:val="00E93952"/>
    <w:rsid w:val="00EE4C2B"/>
    <w:rsid w:val="00EF745C"/>
    <w:rsid w:val="00F00C8D"/>
    <w:rsid w:val="00F3036F"/>
    <w:rsid w:val="00F3164E"/>
    <w:rsid w:val="00F44519"/>
    <w:rsid w:val="00F632A6"/>
    <w:rsid w:val="00F6757E"/>
    <w:rsid w:val="00F73E94"/>
    <w:rsid w:val="00F96CB1"/>
    <w:rsid w:val="00FB23C3"/>
    <w:rsid w:val="00FE3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F1954"/>
  <w15:chartTrackingRefBased/>
  <w15:docId w15:val="{CFC2173A-887B-C24A-AC30-87829A11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D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D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D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D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D16"/>
    <w:rPr>
      <w:rFonts w:eastAsiaTheme="majorEastAsia" w:cstheme="majorBidi"/>
      <w:color w:val="272727" w:themeColor="text1" w:themeTint="D8"/>
    </w:rPr>
  </w:style>
  <w:style w:type="paragraph" w:styleId="Title">
    <w:name w:val="Title"/>
    <w:basedOn w:val="Normal"/>
    <w:next w:val="Normal"/>
    <w:link w:val="TitleChar"/>
    <w:uiPriority w:val="10"/>
    <w:qFormat/>
    <w:rsid w:val="00174D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D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D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4D16"/>
    <w:rPr>
      <w:i/>
      <w:iCs/>
      <w:color w:val="404040" w:themeColor="text1" w:themeTint="BF"/>
    </w:rPr>
  </w:style>
  <w:style w:type="paragraph" w:styleId="ListParagraph">
    <w:name w:val="List Paragraph"/>
    <w:basedOn w:val="Normal"/>
    <w:uiPriority w:val="34"/>
    <w:qFormat/>
    <w:rsid w:val="00174D16"/>
    <w:pPr>
      <w:ind w:left="720"/>
      <w:contextualSpacing/>
    </w:pPr>
  </w:style>
  <w:style w:type="character" w:styleId="IntenseEmphasis">
    <w:name w:val="Intense Emphasis"/>
    <w:basedOn w:val="DefaultParagraphFont"/>
    <w:uiPriority w:val="21"/>
    <w:qFormat/>
    <w:rsid w:val="00174D16"/>
    <w:rPr>
      <w:i/>
      <w:iCs/>
      <w:color w:val="0F4761" w:themeColor="accent1" w:themeShade="BF"/>
    </w:rPr>
  </w:style>
  <w:style w:type="paragraph" w:styleId="IntenseQuote">
    <w:name w:val="Intense Quote"/>
    <w:basedOn w:val="Normal"/>
    <w:next w:val="Normal"/>
    <w:link w:val="IntenseQuoteChar"/>
    <w:uiPriority w:val="30"/>
    <w:qFormat/>
    <w:rsid w:val="00174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D16"/>
    <w:rPr>
      <w:i/>
      <w:iCs/>
      <w:color w:val="0F4761" w:themeColor="accent1" w:themeShade="BF"/>
    </w:rPr>
  </w:style>
  <w:style w:type="character" w:styleId="IntenseReference">
    <w:name w:val="Intense Reference"/>
    <w:basedOn w:val="DefaultParagraphFont"/>
    <w:uiPriority w:val="32"/>
    <w:qFormat/>
    <w:rsid w:val="00174D16"/>
    <w:rPr>
      <w:b/>
      <w:bCs/>
      <w:smallCaps/>
      <w:color w:val="0F4761" w:themeColor="accent1" w:themeShade="BF"/>
      <w:spacing w:val="5"/>
    </w:rPr>
  </w:style>
  <w:style w:type="paragraph" w:styleId="Header">
    <w:name w:val="header"/>
    <w:basedOn w:val="Normal"/>
    <w:link w:val="HeaderChar"/>
    <w:uiPriority w:val="99"/>
    <w:unhideWhenUsed/>
    <w:rsid w:val="001800A7"/>
    <w:pPr>
      <w:tabs>
        <w:tab w:val="center" w:pos="4680"/>
        <w:tab w:val="right" w:pos="9360"/>
      </w:tabs>
    </w:pPr>
  </w:style>
  <w:style w:type="character" w:customStyle="1" w:styleId="HeaderChar">
    <w:name w:val="Header Char"/>
    <w:basedOn w:val="DefaultParagraphFont"/>
    <w:link w:val="Header"/>
    <w:uiPriority w:val="99"/>
    <w:rsid w:val="001800A7"/>
  </w:style>
  <w:style w:type="paragraph" w:styleId="Footer">
    <w:name w:val="footer"/>
    <w:basedOn w:val="Normal"/>
    <w:link w:val="FooterChar"/>
    <w:uiPriority w:val="99"/>
    <w:unhideWhenUsed/>
    <w:rsid w:val="001800A7"/>
    <w:pPr>
      <w:tabs>
        <w:tab w:val="center" w:pos="4680"/>
        <w:tab w:val="right" w:pos="9360"/>
      </w:tabs>
    </w:pPr>
  </w:style>
  <w:style w:type="character" w:customStyle="1" w:styleId="FooterChar">
    <w:name w:val="Footer Char"/>
    <w:basedOn w:val="DefaultParagraphFont"/>
    <w:link w:val="Footer"/>
    <w:uiPriority w:val="99"/>
    <w:rsid w:val="0018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19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DF20-36D2-42EB-ACAA-A0E1CE27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O'Toole</dc:creator>
  <cp:keywords/>
  <dc:description/>
  <cp:lastModifiedBy>Eric Johnson</cp:lastModifiedBy>
  <cp:revision>16</cp:revision>
  <dcterms:created xsi:type="dcterms:W3CDTF">2024-09-23T20:03:00Z</dcterms:created>
  <dcterms:modified xsi:type="dcterms:W3CDTF">2024-09-23T20:16:00Z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5c1b2f132067f9fdf0de7b41afc9fc528ab37a18f37778dc54a75bd7e3c26224</vt:lpwstr>
  </property>
</Properties>
</file>